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spacing w:before="0" w:after="240" w:line="240" w:lineRule="auto"/>
        <w:rPr>
          <w:rFonts w:ascii="Times Roman" w:hAnsi="Times Roman"/>
          <w:b w:val="1"/>
          <w:bCs w:val="1"/>
          <w:sz w:val="37"/>
          <w:szCs w:val="37"/>
          <w:shd w:val="clear" w:color="auto" w:fill="ffffff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1933282</wp:posOffset>
            </wp:positionH>
            <wp:positionV relativeFrom="page">
              <wp:posOffset>0</wp:posOffset>
            </wp:positionV>
            <wp:extent cx="3093644" cy="30936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644" cy="3093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-152400</wp:posOffset>
            </wp:positionV>
            <wp:extent cx="1891645" cy="7242455"/>
            <wp:effectExtent l="0" t="0" r="0" b="0"/>
            <wp:wrapThrough wrapText="bothSides" distL="152400" distR="152400">
              <wp:wrapPolygon edited="1">
                <wp:start x="0" y="0"/>
                <wp:lineTo x="21644" y="0"/>
                <wp:lineTo x="21644" y="21621"/>
                <wp:lineTo x="0" y="21621"/>
                <wp:lineTo x="0" y="0"/>
              </wp:wrapPolygon>
            </wp:wrapThrough>
            <wp:docPr id="107374182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" descr="Immagin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45" cy="7242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spacing w:before="0" w:after="240" w:line="240" w:lineRule="auto"/>
        <w:rPr>
          <w:rFonts w:ascii="Times Roman" w:hAnsi="Times Roman"/>
          <w:b w:val="1"/>
          <w:bCs w:val="1"/>
          <w:sz w:val="37"/>
          <w:szCs w:val="37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b w:val="1"/>
          <w:bCs w:val="1"/>
          <w:sz w:val="37"/>
          <w:szCs w:val="37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b w:val="1"/>
          <w:bCs w:val="1"/>
          <w:sz w:val="34"/>
          <w:szCs w:val="34"/>
          <w:shd w:val="clear" w:color="auto" w:fill="ffffff"/>
          <w:lang w:val="en-US"/>
        </w:rPr>
      </w:pPr>
      <w:r>
        <w:rPr>
          <w:rFonts w:ascii="Times Roman" w:hAnsi="Times Roman"/>
          <w:b w:val="1"/>
          <w:bCs w:val="1"/>
          <w:sz w:val="34"/>
          <w:szCs w:val="34"/>
          <w:shd w:val="clear" w:color="auto" w:fill="ffffff"/>
          <w:rtl w:val="0"/>
          <w:lang w:val="it-IT"/>
        </w:rPr>
        <w:t>SKANDAL! Orange</w:t>
      </w:r>
    </w:p>
    <w:p>
      <w:pPr>
        <w:pStyle w:val="Di default"/>
        <w:spacing w:before="0" w:after="240" w:line="240" w:lineRule="auto"/>
        <w:rPr>
          <w:rFonts w:ascii="Arial" w:cs="Arial" w:hAnsi="Arial" w:eastAsia="Arial"/>
          <w:sz w:val="29"/>
          <w:szCs w:val="29"/>
          <w:shd w:val="clear" w:color="auto" w:fill="ffffff"/>
        </w:rPr>
      </w:pP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Mitterberg bianco I.G.T.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Vitigni: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30% Chardonnay, 30% Pinot Bianco, 30% Sauvignon e 10% Riesling.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 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nl-NL"/>
        </w:rPr>
        <w:t xml:space="preserve">Zona: </w:t>
      </w:r>
      <w:r>
        <w:rPr>
          <w:rFonts w:ascii="Arial" w:hAnsi="Arial"/>
          <w:sz w:val="29"/>
          <w:szCs w:val="29"/>
          <w:shd w:val="clear" w:color="auto" w:fill="ffffff"/>
          <w:rtl w:val="0"/>
        </w:rPr>
        <w:t>all</w:t>
      </w:r>
      <w:r>
        <w:rPr>
          <w:rFonts w:ascii="Arial Unicode MS" w:hAnsi="Arial Unicode MS" w:hint="default"/>
          <w:sz w:val="29"/>
          <w:szCs w:val="29"/>
          <w:shd w:val="clear" w:color="auto" w:fill="ffffff"/>
          <w:rtl w:val="1"/>
        </w:rPr>
        <w:t>’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interno della zona Classica del comune di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 T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erlano a 265 metri s.l.m.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Vigneto: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Guyot, 7500 ceppi/ha,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5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  fino a 2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5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 anni di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 et</w:t>
      </w:r>
      <w:r>
        <w:rPr>
          <w:rFonts w:ascii="Arial" w:hAnsi="Arial" w:hint="default"/>
          <w:sz w:val="29"/>
          <w:szCs w:val="29"/>
          <w:shd w:val="clear" w:color="auto" w:fill="ffffff"/>
          <w:rtl w:val="0"/>
        </w:rPr>
        <w:t>à</w:t>
      </w:r>
      <w:r>
        <w:rPr>
          <w:rFonts w:ascii="Arial" w:hAnsi="Arial"/>
          <w:sz w:val="29"/>
          <w:szCs w:val="29"/>
          <w:shd w:val="clear" w:color="auto" w:fill="ffffff"/>
          <w:rtl w:val="0"/>
        </w:rPr>
        <w:t xml:space="preserve">. 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Vendemmia: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manuale in piccole cassette a inizio ottobre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,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diraspatura in anfore di terracotta e macerazione a freddo per 12 ore.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Fermentazione: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spontanea</w:t>
      </w: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in anfore per 10-12 giorni con rimontaggi giornalieri e successiva macerazione delle bucce da 15 a 30 giorni</w:t>
      </w:r>
    </w:p>
    <w:p>
      <w:pPr>
        <w:pStyle w:val="Di default"/>
        <w:spacing w:before="0" w:after="240" w:line="240" w:lineRule="auto"/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Affinamento: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100%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in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tonneau usati 9 mesi.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